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3963" w:rsidRDefault="00170A76">
      <w:pPr>
        <w:spacing w:after="0" w:line="265" w:lineRule="auto"/>
        <w:ind w:left="14" w:right="5"/>
        <w:jc w:val="center"/>
      </w:pPr>
      <w:bookmarkStart w:id="0" w:name="_GoBack"/>
      <w:bookmarkEnd w:id="0"/>
      <w:r>
        <w:rPr>
          <w:b/>
        </w:rPr>
        <w:t xml:space="preserve">Eaton Crouse-Hinds </w:t>
      </w:r>
    </w:p>
    <w:p w:rsidR="00C63963" w:rsidRDefault="00170A76">
      <w:pPr>
        <w:spacing w:after="292" w:line="265" w:lineRule="auto"/>
        <w:ind w:left="14" w:right="2"/>
        <w:jc w:val="center"/>
      </w:pPr>
      <w:r>
        <w:rPr>
          <w:b/>
        </w:rPr>
        <w:t>Product Guide Specification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63963" w:rsidRDefault="00170A76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0" w:line="250" w:lineRule="auto"/>
        <w:ind w:left="14"/>
      </w:pPr>
      <w:r>
        <w:t xml:space="preserve">Specifier Notes:  This product guide specification is written according to the Construction Specifications Institute (CSI) 3-Part Format, including </w:t>
      </w:r>
      <w:r>
        <w:rPr>
          <w:i/>
        </w:rPr>
        <w:t>MasterFormat, SectionFormat,</w:t>
      </w:r>
      <w:r>
        <w:t xml:space="preserve"> and </w:t>
      </w:r>
      <w:r>
        <w:rPr>
          <w:i/>
        </w:rPr>
        <w:t>PageFormat,</w:t>
      </w:r>
      <w:r>
        <w:t xml:space="preserve"> as described in </w:t>
      </w:r>
      <w:r>
        <w:rPr>
          <w:i/>
        </w:rPr>
        <w:t xml:space="preserve">The Project Resource Manual—CSI Manual of Practice, Fifth Edition. </w:t>
      </w:r>
    </w:p>
    <w:p w:rsidR="00C63963" w:rsidRDefault="00170A76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0" w:line="259" w:lineRule="auto"/>
        <w:ind w:left="4" w:firstLine="0"/>
      </w:pPr>
      <w:r>
        <w:t xml:space="preserve"> </w:t>
      </w:r>
    </w:p>
    <w:p w:rsidR="00C63963" w:rsidRDefault="00170A76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0" w:line="250" w:lineRule="auto"/>
        <w:ind w:left="14"/>
      </w:pPr>
      <w:r>
        <w:t>This section must be carefully reviewed and edited by the Architect or Engineer to meet the requirements of the project and local building code.  Coordinate this section</w:t>
      </w:r>
      <w:r>
        <w:t xml:space="preserve"> with other specification sections and the Drawings.  Delete all “Specifier Notes” after editing this section. </w:t>
      </w:r>
    </w:p>
    <w:p w:rsidR="00C63963" w:rsidRDefault="00170A76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0" w:line="259" w:lineRule="auto"/>
        <w:ind w:left="4" w:firstLine="0"/>
      </w:pPr>
      <w:r>
        <w:t xml:space="preserve"> </w:t>
      </w:r>
    </w:p>
    <w:p w:rsidR="00C63963" w:rsidRDefault="00170A76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84" w:line="259" w:lineRule="auto"/>
        <w:ind w:left="4" w:firstLine="0"/>
      </w:pPr>
      <w:r>
        <w:t xml:space="preserve">Section numbers are from </w:t>
      </w:r>
      <w:r>
        <w:rPr>
          <w:i/>
        </w:rPr>
        <w:t>MasterFormat 2010 Update.</w:t>
      </w:r>
      <w:r>
        <w:t xml:space="preserve"> </w:t>
      </w:r>
    </w:p>
    <w:p w:rsidR="00C63963" w:rsidRDefault="00170A76">
      <w:pPr>
        <w:spacing w:after="0" w:line="259" w:lineRule="auto"/>
        <w:ind w:left="59" w:firstLine="0"/>
        <w:jc w:val="center"/>
      </w:pPr>
      <w:r>
        <w:rPr>
          <w:b/>
        </w:rPr>
        <w:t xml:space="preserve"> </w:t>
      </w:r>
    </w:p>
    <w:p w:rsidR="00C63963" w:rsidRDefault="00170A76">
      <w:pPr>
        <w:spacing w:after="0" w:line="265" w:lineRule="auto"/>
        <w:ind w:left="14" w:right="3"/>
        <w:jc w:val="center"/>
      </w:pPr>
      <w:r>
        <w:rPr>
          <w:b/>
        </w:rPr>
        <w:t xml:space="preserve">SECTION 26 05 33.55 </w:t>
      </w:r>
    </w:p>
    <w:p w:rsidR="00C63963" w:rsidRDefault="00170A76">
      <w:pPr>
        <w:spacing w:after="0" w:line="265" w:lineRule="auto"/>
        <w:ind w:left="14"/>
        <w:jc w:val="center"/>
      </w:pPr>
      <w:r>
        <w:rPr>
          <w:b/>
        </w:rPr>
        <w:t xml:space="preserve">INDUSTRIAL GRADE FITTINGS </w:t>
      </w:r>
    </w:p>
    <w:p w:rsidR="00C63963" w:rsidRDefault="00170A76">
      <w:pPr>
        <w:spacing w:after="84" w:line="259" w:lineRule="auto"/>
        <w:ind w:left="59" w:firstLine="0"/>
        <w:jc w:val="center"/>
      </w:pPr>
      <w:r>
        <w:rPr>
          <w:b/>
        </w:rPr>
        <w:t xml:space="preserve"> </w:t>
      </w:r>
    </w:p>
    <w:p w:rsidR="00C63963" w:rsidRDefault="00170A76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89" w:line="250" w:lineRule="auto"/>
        <w:ind w:left="-1" w:right="76"/>
      </w:pPr>
      <w:r>
        <w:t xml:space="preserve">Specifier Notes:  Delete any information below in Parts 1, 2 or 3 which is not required or relevant for the project. </w:t>
      </w:r>
    </w:p>
    <w:p w:rsidR="00C63963" w:rsidRDefault="00170A76">
      <w:pPr>
        <w:spacing w:after="0" w:line="259" w:lineRule="auto"/>
        <w:ind w:left="4" w:firstLine="0"/>
      </w:pPr>
      <w:r>
        <w:rPr>
          <w:b/>
        </w:rPr>
        <w:t xml:space="preserve"> </w:t>
      </w:r>
    </w:p>
    <w:p w:rsidR="00C63963" w:rsidRDefault="00170A76">
      <w:pPr>
        <w:spacing w:after="0" w:line="259" w:lineRule="auto"/>
        <w:ind w:left="0"/>
      </w:pPr>
      <w:r>
        <w:rPr>
          <w:b/>
        </w:rPr>
        <w:t xml:space="preserve">PART 1 – GENERAL </w:t>
      </w:r>
    </w:p>
    <w:p w:rsidR="00C63963" w:rsidRDefault="00170A76">
      <w:pPr>
        <w:spacing w:after="1" w:line="259" w:lineRule="auto"/>
        <w:ind w:left="5" w:firstLine="0"/>
      </w:pPr>
      <w:r>
        <w:rPr>
          <w:b/>
        </w:rPr>
        <w:t xml:space="preserve"> </w:t>
      </w:r>
    </w:p>
    <w:p w:rsidR="00C63963" w:rsidRDefault="00170A76">
      <w:pPr>
        <w:pStyle w:val="Heading1"/>
        <w:tabs>
          <w:tab w:val="center" w:pos="1240"/>
        </w:tabs>
        <w:ind w:left="-10" w:right="0" w:firstLine="0"/>
      </w:pPr>
      <w:r>
        <w:t xml:space="preserve">1.01 </w:t>
      </w:r>
      <w:r>
        <w:tab/>
        <w:t xml:space="preserve">SUMMARY </w:t>
      </w:r>
    </w:p>
    <w:p w:rsidR="00C63963" w:rsidRDefault="00170A76">
      <w:pPr>
        <w:spacing w:after="0" w:line="259" w:lineRule="auto"/>
        <w:ind w:left="5" w:firstLine="0"/>
      </w:pPr>
      <w:r>
        <w:t xml:space="preserve"> </w:t>
      </w:r>
    </w:p>
    <w:p w:rsidR="00C63963" w:rsidRDefault="00170A76">
      <w:pPr>
        <w:numPr>
          <w:ilvl w:val="0"/>
          <w:numId w:val="1"/>
        </w:numPr>
        <w:ind w:hanging="720"/>
      </w:pPr>
      <w:r>
        <w:t>This section includes Myers Hubs</w:t>
      </w:r>
      <w:r>
        <w:rPr>
          <w:vertAlign w:val="superscript"/>
        </w:rPr>
        <w:t>TM</w:t>
      </w:r>
      <w:r>
        <w:t xml:space="preserve"> ATEX Stainless Steel and accessories for use with Rigid Metal Conduit Type RMC and Intermediate Metal Conduit Type IMC </w:t>
      </w:r>
    </w:p>
    <w:p w:rsidR="00C63963" w:rsidRDefault="00170A76">
      <w:pPr>
        <w:spacing w:after="1" w:line="259" w:lineRule="auto"/>
        <w:ind w:left="4" w:firstLine="0"/>
      </w:pPr>
      <w:r>
        <w:t xml:space="preserve"> </w:t>
      </w:r>
    </w:p>
    <w:p w:rsidR="00C63963" w:rsidRDefault="00170A76">
      <w:pPr>
        <w:numPr>
          <w:ilvl w:val="0"/>
          <w:numId w:val="1"/>
        </w:numPr>
        <w:ind w:hanging="720"/>
      </w:pPr>
      <w:r>
        <w:t xml:space="preserve">Related Sections: </w:t>
      </w:r>
    </w:p>
    <w:p w:rsidR="00C63963" w:rsidRDefault="00170A76">
      <w:pPr>
        <w:numPr>
          <w:ilvl w:val="1"/>
          <w:numId w:val="1"/>
        </w:numPr>
        <w:ind w:hanging="720"/>
      </w:pPr>
      <w:r>
        <w:t xml:space="preserve">Section 26 05 33.13  </w:t>
      </w:r>
      <w:r>
        <w:tab/>
        <w:t xml:space="preserve">Conduit for Electrical Systems </w:t>
      </w:r>
    </w:p>
    <w:p w:rsidR="00C63963" w:rsidRDefault="00170A76">
      <w:pPr>
        <w:numPr>
          <w:ilvl w:val="1"/>
          <w:numId w:val="1"/>
        </w:numPr>
        <w:ind w:hanging="720"/>
      </w:pPr>
      <w:r>
        <w:t xml:space="preserve">Section 26 05 33.53 </w:t>
      </w:r>
      <w:r>
        <w:tab/>
        <w:t xml:space="preserve">Commercial Grade Rigid Fittings </w:t>
      </w:r>
    </w:p>
    <w:p w:rsidR="00C63963" w:rsidRDefault="00170A76">
      <w:pPr>
        <w:numPr>
          <w:ilvl w:val="1"/>
          <w:numId w:val="1"/>
        </w:numPr>
        <w:ind w:hanging="720"/>
      </w:pPr>
      <w:r>
        <w:t>Sectio</w:t>
      </w:r>
      <w:r>
        <w:t xml:space="preserve">n 26 05 33.51  </w:t>
      </w:r>
      <w:r>
        <w:tab/>
        <w:t xml:space="preserve">Rigid Nonmetallic Conduit Fittings </w:t>
      </w:r>
    </w:p>
    <w:p w:rsidR="00C63963" w:rsidRDefault="00170A76">
      <w:pPr>
        <w:spacing w:after="1" w:line="259" w:lineRule="auto"/>
        <w:ind w:left="1444" w:firstLine="0"/>
      </w:pPr>
      <w:r>
        <w:t xml:space="preserve"> </w:t>
      </w:r>
    </w:p>
    <w:p w:rsidR="00C63963" w:rsidRDefault="00170A76">
      <w:pPr>
        <w:pStyle w:val="Heading1"/>
        <w:tabs>
          <w:tab w:val="center" w:pos="1407"/>
        </w:tabs>
        <w:ind w:left="-10" w:right="0" w:firstLine="0"/>
      </w:pPr>
      <w:r>
        <w:t xml:space="preserve">1.02 </w:t>
      </w:r>
      <w:r>
        <w:tab/>
        <w:t xml:space="preserve">REFERENCES </w:t>
      </w:r>
    </w:p>
    <w:p w:rsidR="00C63963" w:rsidRDefault="00170A76">
      <w:pPr>
        <w:spacing w:after="0" w:line="259" w:lineRule="auto"/>
        <w:ind w:left="4" w:firstLine="0"/>
      </w:pPr>
      <w:r>
        <w:rPr>
          <w:b/>
        </w:rPr>
        <w:t xml:space="preserve"> </w:t>
      </w:r>
    </w:p>
    <w:p w:rsidR="00C63963" w:rsidRDefault="00170A76">
      <w:pPr>
        <w:numPr>
          <w:ilvl w:val="0"/>
          <w:numId w:val="2"/>
        </w:numPr>
        <w:ind w:hanging="720"/>
      </w:pPr>
      <w:r>
        <w:t xml:space="preserve">Underwriters Laboratories, Inc. (UL): </w:t>
      </w:r>
    </w:p>
    <w:p w:rsidR="00C63963" w:rsidRDefault="00170A76">
      <w:pPr>
        <w:numPr>
          <w:ilvl w:val="1"/>
          <w:numId w:val="2"/>
        </w:numPr>
        <w:ind w:hanging="720"/>
      </w:pPr>
      <w:r>
        <w:t xml:space="preserve">UL 467  </w:t>
      </w:r>
      <w:r>
        <w:tab/>
        <w:t xml:space="preserve"> </w:t>
      </w:r>
      <w:r>
        <w:tab/>
        <w:t xml:space="preserve">Grounding and Bonding Equipment </w:t>
      </w:r>
    </w:p>
    <w:p w:rsidR="00C63963" w:rsidRDefault="00170A76">
      <w:pPr>
        <w:numPr>
          <w:ilvl w:val="1"/>
          <w:numId w:val="2"/>
        </w:numPr>
        <w:ind w:hanging="720"/>
      </w:pPr>
      <w:r>
        <w:t xml:space="preserve">UL 514B </w:t>
      </w:r>
      <w:r>
        <w:tab/>
        <w:t xml:space="preserve"> </w:t>
      </w:r>
      <w:r>
        <w:tab/>
        <w:t xml:space="preserve">Conduit, Tubing and Cable Fittings </w:t>
      </w:r>
    </w:p>
    <w:p w:rsidR="00C63963" w:rsidRDefault="00170A76">
      <w:pPr>
        <w:numPr>
          <w:ilvl w:val="1"/>
          <w:numId w:val="2"/>
        </w:numPr>
        <w:ind w:hanging="720"/>
      </w:pPr>
      <w:r>
        <w:t xml:space="preserve">UL 651  </w:t>
      </w:r>
      <w:r>
        <w:tab/>
        <w:t xml:space="preserve"> </w:t>
      </w:r>
      <w:r>
        <w:tab/>
        <w:t xml:space="preserve">Schedule 40, 80, Type EB and A Rigid PVC </w:t>
      </w:r>
      <w:r>
        <w:t xml:space="preserve">Conduit Fittings  </w:t>
      </w:r>
    </w:p>
    <w:p w:rsidR="00C63963" w:rsidRDefault="00170A76">
      <w:pPr>
        <w:spacing w:after="1" w:line="259" w:lineRule="auto"/>
        <w:ind w:left="3" w:firstLine="0"/>
      </w:pPr>
      <w:r>
        <w:t xml:space="preserve"> </w:t>
      </w:r>
    </w:p>
    <w:p w:rsidR="00C63963" w:rsidRDefault="00170A76">
      <w:pPr>
        <w:numPr>
          <w:ilvl w:val="0"/>
          <w:numId w:val="2"/>
        </w:numPr>
        <w:ind w:hanging="720"/>
      </w:pPr>
      <w:r>
        <w:t xml:space="preserve">National Fire Protection Association (NFPA): </w:t>
      </w:r>
    </w:p>
    <w:p w:rsidR="00C63963" w:rsidRDefault="00170A76">
      <w:pPr>
        <w:numPr>
          <w:ilvl w:val="1"/>
          <w:numId w:val="2"/>
        </w:numPr>
        <w:ind w:hanging="720"/>
      </w:pPr>
      <w:r>
        <w:t xml:space="preserve">NFPA 70 </w:t>
      </w:r>
      <w:r>
        <w:tab/>
        <w:t xml:space="preserve">  </w:t>
      </w:r>
      <w:r>
        <w:tab/>
        <w:t xml:space="preserve">National Electrical Code (NEC) </w:t>
      </w:r>
    </w:p>
    <w:p w:rsidR="00C63963" w:rsidRDefault="00170A76">
      <w:pPr>
        <w:spacing w:after="1" w:line="259" w:lineRule="auto"/>
        <w:ind w:left="2" w:firstLine="0"/>
      </w:pPr>
      <w:r>
        <w:t xml:space="preserve"> </w:t>
      </w:r>
    </w:p>
    <w:p w:rsidR="00C63963" w:rsidRDefault="00170A76">
      <w:pPr>
        <w:numPr>
          <w:ilvl w:val="0"/>
          <w:numId w:val="2"/>
        </w:numPr>
        <w:ind w:hanging="720"/>
      </w:pPr>
      <w:r>
        <w:t xml:space="preserve">Federal Specification </w:t>
      </w:r>
    </w:p>
    <w:p w:rsidR="00C63963" w:rsidRDefault="00170A76">
      <w:pPr>
        <w:numPr>
          <w:ilvl w:val="1"/>
          <w:numId w:val="2"/>
        </w:numPr>
        <w:ind w:hanging="720"/>
      </w:pPr>
      <w:r>
        <w:t xml:space="preserve">A-A-50552 </w:t>
      </w:r>
      <w:r>
        <w:tab/>
        <w:t xml:space="preserve"> </w:t>
      </w:r>
      <w:r>
        <w:tab/>
        <w:t xml:space="preserve">Fittings for Cable, Power, Electrical and Conduit, Metal Flexible </w:t>
      </w:r>
    </w:p>
    <w:p w:rsidR="00C63963" w:rsidRDefault="00170A76">
      <w:pPr>
        <w:numPr>
          <w:ilvl w:val="1"/>
          <w:numId w:val="2"/>
        </w:numPr>
        <w:ind w:hanging="720"/>
      </w:pPr>
      <w:r>
        <w:t xml:space="preserve">A-A-50553 </w:t>
      </w:r>
      <w:r>
        <w:tab/>
        <w:t xml:space="preserve"> </w:t>
      </w:r>
      <w:r>
        <w:tab/>
      </w:r>
      <w:r>
        <w:t xml:space="preserve">Fittings for Conduit, Metal, Rigid, (Thick-wall and Thin-wall (EMT) </w:t>
      </w:r>
    </w:p>
    <w:p w:rsidR="00C63963" w:rsidRDefault="00170A76">
      <w:pPr>
        <w:tabs>
          <w:tab w:val="center" w:pos="1442"/>
          <w:tab w:val="center" w:pos="2162"/>
          <w:tab w:val="center" w:pos="2881"/>
          <w:tab w:val="center" w:pos="3601"/>
          <w:tab w:val="center" w:pos="457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Type) </w:t>
      </w:r>
    </w:p>
    <w:p w:rsidR="00C63963" w:rsidRDefault="00170A76">
      <w:pPr>
        <w:spacing w:after="1" w:line="259" w:lineRule="auto"/>
        <w:ind w:left="721" w:firstLine="0"/>
      </w:pPr>
      <w:r>
        <w:t xml:space="preserve"> </w:t>
      </w:r>
    </w:p>
    <w:p w:rsidR="00C63963" w:rsidRDefault="00170A76">
      <w:pPr>
        <w:numPr>
          <w:ilvl w:val="0"/>
          <w:numId w:val="2"/>
        </w:numPr>
        <w:ind w:hanging="720"/>
      </w:pPr>
      <w:r>
        <w:t xml:space="preserve">Canadian Standard Association (CSA): </w:t>
      </w:r>
    </w:p>
    <w:p w:rsidR="00C63963" w:rsidRDefault="00170A76">
      <w:pPr>
        <w:numPr>
          <w:ilvl w:val="1"/>
          <w:numId w:val="2"/>
        </w:numPr>
        <w:ind w:hanging="720"/>
      </w:pPr>
      <w:r>
        <w:t xml:space="preserve">CSA C22.2 No. 18 </w:t>
      </w:r>
      <w:r>
        <w:tab/>
        <w:t xml:space="preserve">Outlet Boxes, Conduit Boxes, Fittings and Associated Hardware </w:t>
      </w:r>
    </w:p>
    <w:p w:rsidR="00C63963" w:rsidRDefault="00170A76">
      <w:pPr>
        <w:numPr>
          <w:ilvl w:val="1"/>
          <w:numId w:val="2"/>
        </w:numPr>
        <w:ind w:hanging="720"/>
      </w:pPr>
      <w:r>
        <w:t xml:space="preserve">CSA C22.1 </w:t>
      </w:r>
      <w:r>
        <w:tab/>
        <w:t xml:space="preserve"> </w:t>
      </w:r>
      <w:r>
        <w:tab/>
        <w:t xml:space="preserve">Canadian Electrical Code Part I </w:t>
      </w:r>
    </w:p>
    <w:p w:rsidR="00C63963" w:rsidRDefault="00170A76">
      <w:pPr>
        <w:numPr>
          <w:ilvl w:val="1"/>
          <w:numId w:val="2"/>
        </w:numPr>
        <w:ind w:hanging="720"/>
      </w:pPr>
      <w:r>
        <w:t xml:space="preserve">CSA C22.2 No. 41 </w:t>
      </w:r>
      <w:r>
        <w:tab/>
        <w:t xml:space="preserve">Grounding and Bonding Equipment </w:t>
      </w:r>
    </w:p>
    <w:p w:rsidR="00C63963" w:rsidRDefault="00170A76">
      <w:pPr>
        <w:spacing w:after="1" w:line="259" w:lineRule="auto"/>
        <w:ind w:left="0" w:firstLine="0"/>
      </w:pPr>
      <w:r>
        <w:t xml:space="preserve"> </w:t>
      </w:r>
    </w:p>
    <w:p w:rsidR="00C63963" w:rsidRDefault="00170A76">
      <w:pPr>
        <w:pStyle w:val="Heading1"/>
        <w:tabs>
          <w:tab w:val="center" w:pos="1364"/>
        </w:tabs>
        <w:ind w:left="-10" w:right="0" w:firstLine="0"/>
      </w:pPr>
      <w:r>
        <w:t xml:space="preserve">1.03 </w:t>
      </w:r>
      <w:r>
        <w:tab/>
        <w:t xml:space="preserve">SUBMITTALS </w:t>
      </w:r>
    </w:p>
    <w:p w:rsidR="00C63963" w:rsidRDefault="00170A76">
      <w:pPr>
        <w:spacing w:after="1" w:line="259" w:lineRule="auto"/>
        <w:ind w:left="0" w:firstLine="0"/>
      </w:pPr>
      <w:r>
        <w:t xml:space="preserve"> </w:t>
      </w:r>
    </w:p>
    <w:p w:rsidR="00C63963" w:rsidRDefault="00170A76">
      <w:pPr>
        <w:numPr>
          <w:ilvl w:val="0"/>
          <w:numId w:val="3"/>
        </w:numPr>
        <w:ind w:hanging="720"/>
      </w:pPr>
      <w:r>
        <w:t xml:space="preserve">Comply with Section 01 33 00 – Submittal Procedures. </w:t>
      </w:r>
    </w:p>
    <w:p w:rsidR="00C63963" w:rsidRDefault="00170A76">
      <w:pPr>
        <w:spacing w:after="1" w:line="259" w:lineRule="auto"/>
        <w:ind w:left="0" w:firstLine="0"/>
      </w:pPr>
      <w:r>
        <w:t xml:space="preserve"> </w:t>
      </w:r>
    </w:p>
    <w:p w:rsidR="00C63963" w:rsidRDefault="00170A76">
      <w:pPr>
        <w:numPr>
          <w:ilvl w:val="0"/>
          <w:numId w:val="3"/>
        </w:numPr>
        <w:ind w:hanging="720"/>
      </w:pPr>
      <w:r>
        <w:t xml:space="preserve">Product Data: </w:t>
      </w:r>
    </w:p>
    <w:p w:rsidR="00C63963" w:rsidRDefault="00170A76">
      <w:pPr>
        <w:numPr>
          <w:ilvl w:val="1"/>
          <w:numId w:val="3"/>
        </w:numPr>
        <w:ind w:hanging="720"/>
      </w:pPr>
      <w:r>
        <w:t xml:space="preserve">Submit manufacturer’s descriptive literature and product specifications for each product. </w:t>
      </w:r>
    </w:p>
    <w:p w:rsidR="00C63963" w:rsidRDefault="00170A76">
      <w:pPr>
        <w:numPr>
          <w:ilvl w:val="1"/>
          <w:numId w:val="3"/>
        </w:numPr>
        <w:spacing w:after="163"/>
        <w:ind w:hanging="720"/>
      </w:pPr>
      <w:r>
        <w:lastRenderedPageBreak/>
        <w:t xml:space="preserve">Manufacturer’s product drawings. </w:t>
      </w:r>
    </w:p>
    <w:p w:rsidR="00C63963" w:rsidRDefault="00170A76">
      <w:pPr>
        <w:spacing w:after="3" w:line="259" w:lineRule="auto"/>
        <w:ind w:left="10" w:right="-12"/>
        <w:jc w:val="right"/>
      </w:pPr>
      <w:r>
        <w:rPr>
          <w:b/>
        </w:rPr>
        <w:t xml:space="preserve">INDUSTRIAL GRADE FITTINGS </w:t>
      </w:r>
    </w:p>
    <w:p w:rsidR="00C63963" w:rsidRDefault="00170A76">
      <w:pPr>
        <w:spacing w:after="3" w:line="259" w:lineRule="auto"/>
        <w:ind w:left="10" w:right="-12"/>
        <w:jc w:val="right"/>
      </w:pPr>
      <w:r>
        <w:rPr>
          <w:b/>
        </w:rPr>
        <w:t xml:space="preserve">26 05 33  </w:t>
      </w:r>
    </w:p>
    <w:p w:rsidR="00C63963" w:rsidRDefault="00170A76">
      <w:pPr>
        <w:spacing w:after="3" w:line="259" w:lineRule="auto"/>
        <w:ind w:left="10" w:right="-12"/>
        <w:jc w:val="right"/>
      </w:pPr>
      <w:r>
        <w:rPr>
          <w:b/>
        </w:rPr>
        <w:t xml:space="preserve">REVISION 0 </w:t>
      </w:r>
    </w:p>
    <w:p w:rsidR="00C63963" w:rsidRDefault="00170A76">
      <w:pPr>
        <w:spacing w:after="0" w:line="265" w:lineRule="auto"/>
        <w:ind w:left="14" w:right="5"/>
        <w:jc w:val="center"/>
      </w:pPr>
      <w:r>
        <w:rPr>
          <w:b/>
        </w:rPr>
        <w:t xml:space="preserve">Eaton Crouse-Hinds </w:t>
      </w:r>
    </w:p>
    <w:p w:rsidR="00C63963" w:rsidRDefault="00170A76">
      <w:pPr>
        <w:spacing w:after="211" w:line="265" w:lineRule="auto"/>
        <w:ind w:left="14" w:right="2"/>
        <w:jc w:val="center"/>
      </w:pPr>
      <w:r>
        <w:rPr>
          <w:b/>
        </w:rPr>
        <w:t>Product Guide Specification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63963" w:rsidRDefault="00170A76">
      <w:pPr>
        <w:pStyle w:val="Heading1"/>
        <w:tabs>
          <w:tab w:val="center" w:pos="1824"/>
        </w:tabs>
        <w:ind w:left="-10" w:right="0" w:firstLine="0"/>
      </w:pPr>
      <w:r>
        <w:t xml:space="preserve">1.04 </w:t>
      </w:r>
      <w:r>
        <w:tab/>
        <w:t xml:space="preserve">QUALITY ASSURANCE </w:t>
      </w:r>
    </w:p>
    <w:p w:rsidR="00C63963" w:rsidRDefault="00170A76">
      <w:pPr>
        <w:spacing w:after="0" w:line="259" w:lineRule="auto"/>
        <w:ind w:left="4" w:firstLine="0"/>
      </w:pPr>
      <w:r>
        <w:t xml:space="preserve"> </w:t>
      </w:r>
    </w:p>
    <w:p w:rsidR="00C63963" w:rsidRDefault="00170A76">
      <w:pPr>
        <w:numPr>
          <w:ilvl w:val="0"/>
          <w:numId w:val="4"/>
        </w:numPr>
        <w:ind w:hanging="720"/>
      </w:pPr>
      <w:r>
        <w:t xml:space="preserve">Manufacturer Qualifications: Products shall be free of defects in material and workmanship.  </w:t>
      </w:r>
    </w:p>
    <w:p w:rsidR="00C63963" w:rsidRDefault="00170A76">
      <w:pPr>
        <w:spacing w:after="1" w:line="259" w:lineRule="auto"/>
        <w:ind w:left="724" w:firstLine="0"/>
      </w:pPr>
      <w:r>
        <w:t xml:space="preserve"> </w:t>
      </w:r>
    </w:p>
    <w:p w:rsidR="00C63963" w:rsidRDefault="00170A76">
      <w:pPr>
        <w:numPr>
          <w:ilvl w:val="0"/>
          <w:numId w:val="4"/>
        </w:numPr>
        <w:ind w:hanging="720"/>
      </w:pPr>
      <w:r>
        <w:t xml:space="preserve">Furnished products are listed or classified by third party agencies as suitable for the intended purpose. </w:t>
      </w:r>
    </w:p>
    <w:p w:rsidR="00C63963" w:rsidRDefault="00170A76">
      <w:pPr>
        <w:spacing w:after="1" w:line="259" w:lineRule="auto"/>
        <w:ind w:left="4" w:firstLine="0"/>
      </w:pPr>
      <w:r>
        <w:t xml:space="preserve"> </w:t>
      </w:r>
    </w:p>
    <w:p w:rsidR="00C63963" w:rsidRDefault="00170A76">
      <w:pPr>
        <w:pStyle w:val="Heading1"/>
        <w:tabs>
          <w:tab w:val="center" w:pos="1307"/>
        </w:tabs>
        <w:ind w:left="-10" w:right="0" w:firstLine="0"/>
      </w:pPr>
      <w:r>
        <w:t xml:space="preserve">1.05 </w:t>
      </w:r>
      <w:r>
        <w:tab/>
        <w:t xml:space="preserve">WARRANTY </w:t>
      </w:r>
    </w:p>
    <w:p w:rsidR="00C63963" w:rsidRDefault="00170A76">
      <w:pPr>
        <w:spacing w:after="1" w:line="259" w:lineRule="auto"/>
        <w:ind w:left="4" w:firstLine="0"/>
      </w:pPr>
      <w:r>
        <w:t xml:space="preserve"> </w:t>
      </w:r>
    </w:p>
    <w:p w:rsidR="00C63963" w:rsidRDefault="00170A76">
      <w:pPr>
        <w:numPr>
          <w:ilvl w:val="0"/>
          <w:numId w:val="5"/>
        </w:numPr>
        <w:ind w:hanging="720"/>
      </w:pPr>
      <w:r>
        <w:t xml:space="preserve">Product is warranted free of defects in material and workmanship. </w:t>
      </w:r>
    </w:p>
    <w:p w:rsidR="00C63963" w:rsidRDefault="00170A76">
      <w:pPr>
        <w:numPr>
          <w:ilvl w:val="0"/>
          <w:numId w:val="5"/>
        </w:numPr>
        <w:ind w:hanging="720"/>
      </w:pPr>
      <w:r>
        <w:t>Product is warranted to perform the intended function within d</w:t>
      </w:r>
      <w:r>
        <w:t xml:space="preserve">esign limits. </w:t>
      </w:r>
    </w:p>
    <w:p w:rsidR="00C63963" w:rsidRDefault="00170A76">
      <w:pPr>
        <w:spacing w:after="0" w:line="259" w:lineRule="auto"/>
        <w:ind w:left="5" w:firstLine="0"/>
      </w:pPr>
      <w:r>
        <w:rPr>
          <w:b/>
        </w:rPr>
        <w:t xml:space="preserve"> </w:t>
      </w:r>
    </w:p>
    <w:p w:rsidR="00C63963" w:rsidRDefault="00170A76">
      <w:pPr>
        <w:spacing w:after="0" w:line="259" w:lineRule="auto"/>
        <w:ind w:left="0"/>
      </w:pPr>
      <w:r>
        <w:rPr>
          <w:b/>
        </w:rPr>
        <w:t xml:space="preserve">PART 2 – PRODUCTS </w:t>
      </w:r>
    </w:p>
    <w:p w:rsidR="00C63963" w:rsidRDefault="00170A76">
      <w:pPr>
        <w:spacing w:after="0" w:line="259" w:lineRule="auto"/>
        <w:ind w:left="5" w:firstLine="0"/>
      </w:pPr>
      <w:r>
        <w:rPr>
          <w:b/>
        </w:rPr>
        <w:t xml:space="preserve"> </w:t>
      </w:r>
    </w:p>
    <w:p w:rsidR="00C63963" w:rsidRDefault="00170A76">
      <w:pPr>
        <w:pStyle w:val="Heading1"/>
        <w:tabs>
          <w:tab w:val="center" w:pos="1212"/>
        </w:tabs>
        <w:ind w:left="-10" w:right="0" w:firstLine="0"/>
      </w:pPr>
      <w:r>
        <w:t xml:space="preserve">2.01 </w:t>
      </w:r>
      <w:r>
        <w:tab/>
        <w:t xml:space="preserve">GENERAL  </w:t>
      </w:r>
    </w:p>
    <w:p w:rsidR="00C63963" w:rsidRDefault="00170A76">
      <w:pPr>
        <w:spacing w:after="1" w:line="259" w:lineRule="auto"/>
        <w:ind w:left="5" w:firstLine="0"/>
      </w:pPr>
      <w:r>
        <w:t xml:space="preserve"> </w:t>
      </w:r>
    </w:p>
    <w:p w:rsidR="00C63963" w:rsidRDefault="00170A76">
      <w:pPr>
        <w:numPr>
          <w:ilvl w:val="0"/>
          <w:numId w:val="6"/>
        </w:numPr>
        <w:ind w:hanging="720"/>
      </w:pPr>
      <w:r>
        <w:t xml:space="preserve">All locknuts, hubs, threadless and threaded fittings shall comply with Federal Specification  A-A-50553. </w:t>
      </w:r>
    </w:p>
    <w:p w:rsidR="00C63963" w:rsidRDefault="00170A76">
      <w:pPr>
        <w:numPr>
          <w:ilvl w:val="0"/>
          <w:numId w:val="6"/>
        </w:numPr>
        <w:ind w:hanging="720"/>
      </w:pPr>
      <w:r>
        <w:t>Unless otherwise specified below fittings are UL Listed to 514B and CSA Certified to C22.2 No.</w:t>
      </w:r>
      <w:r>
        <w:t xml:space="preserve"> 18. </w:t>
      </w:r>
    </w:p>
    <w:p w:rsidR="00C63963" w:rsidRDefault="00170A76">
      <w:pPr>
        <w:numPr>
          <w:ilvl w:val="0"/>
          <w:numId w:val="6"/>
        </w:numPr>
        <w:ind w:hanging="720"/>
      </w:pPr>
      <w:r>
        <w:t xml:space="preserve">For IEC Applications: </w:t>
      </w:r>
    </w:p>
    <w:p w:rsidR="00C63963" w:rsidRDefault="00170A76">
      <w:pPr>
        <w:numPr>
          <w:ilvl w:val="1"/>
          <w:numId w:val="6"/>
        </w:numPr>
        <w:ind w:hanging="720"/>
      </w:pPr>
      <w:r>
        <w:t xml:space="preserve">ATEX Certified to EN60079-0:2009, EN60079-7:2007 and EN60079-14 Standards </w:t>
      </w:r>
    </w:p>
    <w:p w:rsidR="00C63963" w:rsidRDefault="00170A76">
      <w:pPr>
        <w:numPr>
          <w:ilvl w:val="1"/>
          <w:numId w:val="6"/>
        </w:numPr>
        <w:ind w:hanging="720"/>
      </w:pPr>
      <w:r>
        <w:t xml:space="preserve">ATEX Certified ITS12ATEX47591X </w:t>
      </w:r>
      <w:r>
        <w:rPr>
          <w:noProof/>
        </w:rPr>
        <w:drawing>
          <wp:inline distT="0" distB="0" distL="0" distR="0">
            <wp:extent cx="152400" cy="172720"/>
            <wp:effectExtent l="0" t="0" r="0" b="0"/>
            <wp:docPr id="259" name="Picture 2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9" name="Picture 25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72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II 2G Ex e IIC Gb Ta (-55°C to 180°C) </w:t>
      </w:r>
    </w:p>
    <w:p w:rsidR="00C63963" w:rsidRDefault="00170A76">
      <w:pPr>
        <w:numPr>
          <w:ilvl w:val="1"/>
          <w:numId w:val="6"/>
        </w:numPr>
        <w:ind w:hanging="720"/>
      </w:pPr>
      <w:r>
        <w:t xml:space="preserve">IECEx Certified IECEX ETL 12.0009X to IEC 60079-0:2007-10, Edition 5 and IEC 600797:2006-07, Edition 4      </w:t>
      </w:r>
    </w:p>
    <w:p w:rsidR="00C63963" w:rsidRDefault="00170A76">
      <w:pPr>
        <w:numPr>
          <w:ilvl w:val="1"/>
          <w:numId w:val="6"/>
        </w:numPr>
        <w:ind w:hanging="720"/>
      </w:pPr>
      <w:r>
        <w:t xml:space="preserve">IECEx-Ex e II Gb Ta (-55°C to 180°C) </w:t>
      </w:r>
    </w:p>
    <w:p w:rsidR="00C63963" w:rsidRDefault="00170A76">
      <w:pPr>
        <w:numPr>
          <w:ilvl w:val="1"/>
          <w:numId w:val="6"/>
        </w:numPr>
        <w:ind w:hanging="720"/>
      </w:pPr>
      <w:r>
        <w:t xml:space="preserve">IP66 </w:t>
      </w:r>
    </w:p>
    <w:p w:rsidR="00C63963" w:rsidRDefault="00170A76">
      <w:pPr>
        <w:spacing w:after="0" w:line="259" w:lineRule="auto"/>
        <w:ind w:left="4" w:firstLine="0"/>
      </w:pPr>
      <w:r>
        <w:t xml:space="preserve"> </w:t>
      </w:r>
    </w:p>
    <w:p w:rsidR="00C63963" w:rsidRDefault="00170A76">
      <w:pPr>
        <w:pStyle w:val="Heading1"/>
        <w:tabs>
          <w:tab w:val="center" w:pos="1640"/>
        </w:tabs>
        <w:ind w:left="-10" w:right="0" w:firstLine="0"/>
      </w:pPr>
      <w:r>
        <w:t xml:space="preserve">2.02 </w:t>
      </w:r>
      <w:r>
        <w:tab/>
        <w:t xml:space="preserve">MANUFACTURERS </w:t>
      </w:r>
    </w:p>
    <w:p w:rsidR="00C63963" w:rsidRDefault="00170A76">
      <w:pPr>
        <w:spacing w:after="1" w:line="259" w:lineRule="auto"/>
        <w:ind w:left="4" w:firstLine="0"/>
      </w:pPr>
      <w:r>
        <w:t xml:space="preserve"> </w:t>
      </w:r>
    </w:p>
    <w:p w:rsidR="00C63963" w:rsidRDefault="00170A76">
      <w:pPr>
        <w:tabs>
          <w:tab w:val="center" w:pos="818"/>
          <w:tab w:val="center" w:pos="263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A. </w:t>
      </w:r>
      <w:r>
        <w:tab/>
        <w:t xml:space="preserve">Acceptable Manufacturers: </w:t>
      </w:r>
    </w:p>
    <w:p w:rsidR="00C63963" w:rsidRDefault="00170A76">
      <w:pPr>
        <w:tabs>
          <w:tab w:val="center" w:pos="724"/>
          <w:tab w:val="center" w:pos="2343"/>
        </w:tabs>
        <w:ind w:left="0" w:firstLine="0"/>
      </w:pPr>
      <w:r>
        <w:t xml:space="preserve"> </w:t>
      </w:r>
      <w:r>
        <w:tab/>
        <w:t xml:space="preserve"> </w:t>
      </w:r>
      <w:r>
        <w:tab/>
        <w:t xml:space="preserve">Eaton Crouse-Hinds  </w:t>
      </w:r>
    </w:p>
    <w:p w:rsidR="00C63963" w:rsidRDefault="00170A76">
      <w:pPr>
        <w:ind w:left="1454" w:right="5900"/>
      </w:pPr>
      <w:r>
        <w:t xml:space="preserve">1700 Blue Hills Drive NE Roanoke, VA 24012 </w:t>
      </w:r>
    </w:p>
    <w:p w:rsidR="00C63963" w:rsidRDefault="00170A76">
      <w:pPr>
        <w:spacing w:after="0" w:line="259" w:lineRule="auto"/>
        <w:ind w:left="1444" w:firstLine="0"/>
      </w:pPr>
      <w:hyperlink r:id="rId6">
        <w:r>
          <w:rPr>
            <w:color w:val="0000FF"/>
            <w:u w:val="single" w:color="0000FF"/>
          </w:rPr>
          <w:t>www.crouse-hinds.com</w:t>
        </w:r>
      </w:hyperlink>
      <w:hyperlink r:id="rId7">
        <w:r>
          <w:t xml:space="preserve"> </w:t>
        </w:r>
      </w:hyperlink>
    </w:p>
    <w:p w:rsidR="00C63963" w:rsidRDefault="00170A76">
      <w:pPr>
        <w:spacing w:after="1" w:line="259" w:lineRule="auto"/>
        <w:ind w:left="1444" w:firstLine="0"/>
      </w:pPr>
      <w:r>
        <w:t xml:space="preserve"> </w:t>
      </w:r>
    </w:p>
    <w:p w:rsidR="00C63963" w:rsidRDefault="00170A76">
      <w:pPr>
        <w:tabs>
          <w:tab w:val="center" w:pos="724"/>
          <w:tab w:val="center" w:pos="1866"/>
          <w:tab w:val="center" w:pos="2884"/>
        </w:tabs>
        <w:ind w:left="0" w:firstLine="0"/>
      </w:pPr>
      <w:r>
        <w:t xml:space="preserve"> </w:t>
      </w:r>
      <w:r>
        <w:tab/>
        <w:t xml:space="preserve"> </w:t>
      </w:r>
      <w:r>
        <w:tab/>
        <w:t xml:space="preserve">Products:  </w:t>
      </w:r>
      <w:r>
        <w:tab/>
        <w:t xml:space="preserve"> </w:t>
      </w:r>
    </w:p>
    <w:p w:rsidR="00C63963" w:rsidRDefault="00170A76">
      <w:pPr>
        <w:tabs>
          <w:tab w:val="center" w:pos="1527"/>
          <w:tab w:val="center" w:pos="460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1. </w:t>
      </w:r>
      <w:r>
        <w:tab/>
        <w:t xml:space="preserve">Eaton Crouse-Hinds ATEX Myers Hubs Stainless Steel </w:t>
      </w:r>
    </w:p>
    <w:p w:rsidR="00C63963" w:rsidRDefault="00170A76">
      <w:pPr>
        <w:spacing w:after="1" w:line="259" w:lineRule="auto"/>
        <w:ind w:left="4" w:firstLine="0"/>
      </w:pPr>
      <w:r>
        <w:t xml:space="preserve"> </w:t>
      </w:r>
    </w:p>
    <w:p w:rsidR="00C63963" w:rsidRDefault="00170A76">
      <w:pPr>
        <w:pStyle w:val="Heading1"/>
        <w:tabs>
          <w:tab w:val="center" w:pos="2998"/>
        </w:tabs>
        <w:ind w:left="-10" w:right="0" w:firstLine="0"/>
      </w:pPr>
      <w:r>
        <w:t xml:space="preserve">2.03 </w:t>
      </w:r>
      <w:r>
        <w:tab/>
      </w:r>
      <w:r>
        <w:t xml:space="preserve">DESIGN AND PERFORMANCE REQUIREMENTS </w:t>
      </w:r>
    </w:p>
    <w:p w:rsidR="00C63963" w:rsidRDefault="00170A76">
      <w:pPr>
        <w:numPr>
          <w:ilvl w:val="0"/>
          <w:numId w:val="7"/>
        </w:numPr>
        <w:ind w:hanging="360"/>
      </w:pPr>
      <w:r>
        <w:t xml:space="preserve">Fittings shall be dust-tight. Certified to UL50E </w:t>
      </w:r>
    </w:p>
    <w:p w:rsidR="00C63963" w:rsidRDefault="00170A76">
      <w:pPr>
        <w:numPr>
          <w:ilvl w:val="0"/>
          <w:numId w:val="7"/>
        </w:numPr>
        <w:ind w:hanging="360"/>
      </w:pPr>
      <w:r>
        <w:t xml:space="preserve">Fittings shall be Type 4X rated when installed with a gasket to a flat enclosure </w:t>
      </w:r>
    </w:p>
    <w:p w:rsidR="00C63963" w:rsidRDefault="00170A76">
      <w:pPr>
        <w:numPr>
          <w:ilvl w:val="0"/>
          <w:numId w:val="7"/>
        </w:numPr>
        <w:ind w:hanging="360"/>
      </w:pPr>
      <w:r>
        <w:t xml:space="preserve">Fitting shall be rated for (-55°C to 180°C) for stainless steel IEC Ex Applications </w:t>
      </w:r>
    </w:p>
    <w:p w:rsidR="00C63963" w:rsidRDefault="00170A76">
      <w:pPr>
        <w:numPr>
          <w:ilvl w:val="0"/>
          <w:numId w:val="7"/>
        </w:numPr>
        <w:ind w:hanging="360"/>
      </w:pPr>
      <w:r>
        <w:t>Fi</w:t>
      </w:r>
      <w:r>
        <w:t xml:space="preserve">tting shall be approved for Class I, Division 2 when installed in compliance with NEC 501.10(B)(4)  </w:t>
      </w:r>
    </w:p>
    <w:p w:rsidR="00C63963" w:rsidRDefault="00170A76">
      <w:pPr>
        <w:numPr>
          <w:ilvl w:val="0"/>
          <w:numId w:val="7"/>
        </w:numPr>
        <w:ind w:hanging="360"/>
      </w:pPr>
      <w:r>
        <w:t xml:space="preserve">Fitting shall be approved for Class II, Division 1 when installed in accordance with NEC 502.10(A)(3) </w:t>
      </w:r>
    </w:p>
    <w:p w:rsidR="00C63963" w:rsidRDefault="00170A76">
      <w:pPr>
        <w:numPr>
          <w:ilvl w:val="0"/>
          <w:numId w:val="7"/>
        </w:numPr>
        <w:ind w:hanging="360"/>
      </w:pPr>
      <w:r>
        <w:t>Fitting shall be approved for Class II, Division 2 w</w:t>
      </w:r>
      <w:r>
        <w:t xml:space="preserve">hen installed in accordance with  NEC 502.10(B)(4) </w:t>
      </w:r>
    </w:p>
    <w:p w:rsidR="00C63963" w:rsidRDefault="00170A76">
      <w:pPr>
        <w:spacing w:after="0" w:line="259" w:lineRule="auto"/>
        <w:ind w:left="1444" w:firstLine="0"/>
      </w:pPr>
      <w:r>
        <w:t xml:space="preserve"> </w:t>
      </w:r>
    </w:p>
    <w:p w:rsidR="00C63963" w:rsidRDefault="00170A76">
      <w:pPr>
        <w:spacing w:after="0" w:line="259" w:lineRule="auto"/>
        <w:ind w:left="4" w:firstLine="0"/>
      </w:pPr>
      <w:r>
        <w:t xml:space="preserve"> </w:t>
      </w:r>
    </w:p>
    <w:p w:rsidR="00C63963" w:rsidRDefault="00170A76">
      <w:pPr>
        <w:spacing w:after="0" w:line="259" w:lineRule="auto"/>
        <w:ind w:left="0"/>
      </w:pPr>
      <w:r>
        <w:rPr>
          <w:b/>
        </w:rPr>
        <w:t xml:space="preserve">PART 3 – EXECUTION </w:t>
      </w:r>
    </w:p>
    <w:p w:rsidR="00C63963" w:rsidRDefault="00170A76">
      <w:pPr>
        <w:spacing w:after="1" w:line="259" w:lineRule="auto"/>
        <w:ind w:left="4" w:firstLine="0"/>
      </w:pPr>
      <w:r>
        <w:rPr>
          <w:b/>
        </w:rPr>
        <w:t xml:space="preserve"> </w:t>
      </w:r>
    </w:p>
    <w:p w:rsidR="00C63963" w:rsidRDefault="00170A76">
      <w:pPr>
        <w:pStyle w:val="Heading1"/>
        <w:tabs>
          <w:tab w:val="center" w:pos="1455"/>
        </w:tabs>
        <w:ind w:left="-10" w:right="0" w:firstLine="0"/>
      </w:pPr>
      <w:r>
        <w:lastRenderedPageBreak/>
        <w:t xml:space="preserve">3.01 </w:t>
      </w:r>
      <w:r>
        <w:tab/>
        <w:t xml:space="preserve">INSTALLATION </w:t>
      </w:r>
    </w:p>
    <w:p w:rsidR="00C63963" w:rsidRDefault="00170A76">
      <w:pPr>
        <w:spacing w:after="1" w:line="259" w:lineRule="auto"/>
        <w:ind w:left="3" w:firstLine="0"/>
      </w:pPr>
      <w:r>
        <w:t xml:space="preserve"> </w:t>
      </w:r>
    </w:p>
    <w:p w:rsidR="00C63963" w:rsidRDefault="00170A76">
      <w:pPr>
        <w:tabs>
          <w:tab w:val="center" w:pos="817"/>
          <w:tab w:val="center" w:pos="5272"/>
          <w:tab w:val="center" w:pos="936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A. </w:t>
      </w:r>
      <w:r>
        <w:tab/>
        <w:t xml:space="preserve">Installation shall be in accordance with the NEC and CEC guidelines where applicable. </w:t>
      </w:r>
      <w:r>
        <w:tab/>
        <w:t xml:space="preserve"> </w:t>
      </w:r>
    </w:p>
    <w:p w:rsidR="00C63963" w:rsidRDefault="00170A76">
      <w:pPr>
        <w:spacing w:after="0" w:line="259" w:lineRule="auto"/>
        <w:ind w:left="724" w:firstLine="0"/>
      </w:pPr>
      <w:r>
        <w:t xml:space="preserve"> </w:t>
      </w:r>
      <w:r>
        <w:tab/>
        <w:t xml:space="preserve"> </w:t>
      </w:r>
    </w:p>
    <w:p w:rsidR="00C63963" w:rsidRDefault="00170A76">
      <w:pPr>
        <w:spacing w:after="464" w:line="265" w:lineRule="auto"/>
        <w:ind w:left="14" w:right="3"/>
        <w:jc w:val="center"/>
      </w:pPr>
      <w:r>
        <w:rPr>
          <w:b/>
        </w:rPr>
        <w:t xml:space="preserve">END OF SECTION </w:t>
      </w:r>
    </w:p>
    <w:p w:rsidR="00C63963" w:rsidRDefault="00170A76">
      <w:pPr>
        <w:spacing w:after="3" w:line="259" w:lineRule="auto"/>
        <w:ind w:left="10" w:right="-12"/>
        <w:jc w:val="right"/>
      </w:pPr>
      <w:r>
        <w:rPr>
          <w:b/>
        </w:rPr>
        <w:t xml:space="preserve">INDUSTRIAL GRADE FITTINGS </w:t>
      </w:r>
    </w:p>
    <w:p w:rsidR="00C63963" w:rsidRDefault="00170A76">
      <w:pPr>
        <w:spacing w:after="3" w:line="259" w:lineRule="auto"/>
        <w:ind w:left="10" w:right="-12"/>
        <w:jc w:val="right"/>
      </w:pPr>
      <w:r>
        <w:rPr>
          <w:b/>
        </w:rPr>
        <w:t xml:space="preserve">26 05 33  </w:t>
      </w:r>
    </w:p>
    <w:p w:rsidR="00C63963" w:rsidRDefault="00170A76">
      <w:pPr>
        <w:spacing w:after="3" w:line="259" w:lineRule="auto"/>
        <w:ind w:left="10" w:right="-12"/>
        <w:jc w:val="right"/>
      </w:pPr>
      <w:r>
        <w:rPr>
          <w:b/>
        </w:rPr>
        <w:t xml:space="preserve">REVISION 0 </w:t>
      </w:r>
    </w:p>
    <w:sectPr w:rsidR="00C63963">
      <w:pgSz w:w="12240" w:h="15840"/>
      <w:pgMar w:top="762" w:right="719" w:bottom="721" w:left="10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56BF7"/>
    <w:multiLevelType w:val="hybridMultilevel"/>
    <w:tmpl w:val="855E07DA"/>
    <w:lvl w:ilvl="0" w:tplc="9CE8F7F2">
      <w:start w:val="1"/>
      <w:numFmt w:val="upperLetter"/>
      <w:lvlText w:val="%1."/>
      <w:lvlJc w:val="left"/>
      <w:pPr>
        <w:ind w:left="14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2823664">
      <w:start w:val="1"/>
      <w:numFmt w:val="decimal"/>
      <w:lvlText w:val="%2."/>
      <w:lvlJc w:val="left"/>
      <w:pPr>
        <w:ind w:left="14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5A6EC8A">
      <w:start w:val="1"/>
      <w:numFmt w:val="lowerRoman"/>
      <w:lvlText w:val="%3"/>
      <w:lvlJc w:val="left"/>
      <w:pPr>
        <w:ind w:left="2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47E706A">
      <w:start w:val="1"/>
      <w:numFmt w:val="decimal"/>
      <w:lvlText w:val="%4"/>
      <w:lvlJc w:val="left"/>
      <w:pPr>
        <w:ind w:left="3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ACC426C">
      <w:start w:val="1"/>
      <w:numFmt w:val="lowerLetter"/>
      <w:lvlText w:val="%5"/>
      <w:lvlJc w:val="left"/>
      <w:pPr>
        <w:ind w:left="3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25E40F6">
      <w:start w:val="1"/>
      <w:numFmt w:val="lowerRoman"/>
      <w:lvlText w:val="%6"/>
      <w:lvlJc w:val="left"/>
      <w:pPr>
        <w:ind w:left="4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ABA6CAC">
      <w:start w:val="1"/>
      <w:numFmt w:val="decimal"/>
      <w:lvlText w:val="%7"/>
      <w:lvlJc w:val="left"/>
      <w:pPr>
        <w:ind w:left="5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1C4772E">
      <w:start w:val="1"/>
      <w:numFmt w:val="lowerLetter"/>
      <w:lvlText w:val="%8"/>
      <w:lvlJc w:val="left"/>
      <w:pPr>
        <w:ind w:left="61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0EAF5AA">
      <w:start w:val="1"/>
      <w:numFmt w:val="lowerRoman"/>
      <w:lvlText w:val="%9"/>
      <w:lvlJc w:val="left"/>
      <w:pPr>
        <w:ind w:left="68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2610C8"/>
    <w:multiLevelType w:val="hybridMultilevel"/>
    <w:tmpl w:val="115413CA"/>
    <w:lvl w:ilvl="0" w:tplc="AFC251BC">
      <w:start w:val="1"/>
      <w:numFmt w:val="upperLetter"/>
      <w:lvlText w:val="%1."/>
      <w:lvlJc w:val="left"/>
      <w:pPr>
        <w:ind w:left="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68857A6">
      <w:start w:val="1"/>
      <w:numFmt w:val="decimal"/>
      <w:lvlText w:val="%2.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9EDEC2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CEAFAF6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68241EC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C254A0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8A0FBFE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75C985E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EFC23FC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E150F4"/>
    <w:multiLevelType w:val="hybridMultilevel"/>
    <w:tmpl w:val="CA70C856"/>
    <w:lvl w:ilvl="0" w:tplc="29167574">
      <w:start w:val="1"/>
      <w:numFmt w:val="upperLetter"/>
      <w:lvlText w:val="%1."/>
      <w:lvlJc w:val="left"/>
      <w:pPr>
        <w:ind w:left="14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CDE68FE">
      <w:start w:val="1"/>
      <w:numFmt w:val="decimal"/>
      <w:lvlText w:val="%2."/>
      <w:lvlJc w:val="left"/>
      <w:pPr>
        <w:ind w:left="14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BE85B2A">
      <w:start w:val="1"/>
      <w:numFmt w:val="lowerRoman"/>
      <w:lvlText w:val="%3"/>
      <w:lvlJc w:val="left"/>
      <w:pPr>
        <w:ind w:left="2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CCA315A">
      <w:start w:val="1"/>
      <w:numFmt w:val="decimal"/>
      <w:lvlText w:val="%4"/>
      <w:lvlJc w:val="left"/>
      <w:pPr>
        <w:ind w:left="3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926BED8">
      <w:start w:val="1"/>
      <w:numFmt w:val="lowerLetter"/>
      <w:lvlText w:val="%5"/>
      <w:lvlJc w:val="left"/>
      <w:pPr>
        <w:ind w:left="39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90AA354">
      <w:start w:val="1"/>
      <w:numFmt w:val="lowerRoman"/>
      <w:lvlText w:val="%6"/>
      <w:lvlJc w:val="left"/>
      <w:pPr>
        <w:ind w:left="4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0321D70">
      <w:start w:val="1"/>
      <w:numFmt w:val="decimal"/>
      <w:lvlText w:val="%7"/>
      <w:lvlJc w:val="left"/>
      <w:pPr>
        <w:ind w:left="54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36E2CF6">
      <w:start w:val="1"/>
      <w:numFmt w:val="lowerLetter"/>
      <w:lvlText w:val="%8"/>
      <w:lvlJc w:val="left"/>
      <w:pPr>
        <w:ind w:left="61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D2C491C">
      <w:start w:val="1"/>
      <w:numFmt w:val="lowerRoman"/>
      <w:lvlText w:val="%9"/>
      <w:lvlJc w:val="left"/>
      <w:pPr>
        <w:ind w:left="68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6C73C65"/>
    <w:multiLevelType w:val="hybridMultilevel"/>
    <w:tmpl w:val="488C9044"/>
    <w:lvl w:ilvl="0" w:tplc="0FAEEF88">
      <w:start w:val="1"/>
      <w:numFmt w:val="upperLetter"/>
      <w:lvlText w:val="%1."/>
      <w:lvlJc w:val="left"/>
      <w:pPr>
        <w:ind w:left="14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A20F918">
      <w:start w:val="1"/>
      <w:numFmt w:val="decimal"/>
      <w:lvlText w:val="%2."/>
      <w:lvlJc w:val="left"/>
      <w:pPr>
        <w:ind w:left="2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A86D790">
      <w:start w:val="1"/>
      <w:numFmt w:val="lowerRoman"/>
      <w:lvlText w:val="%3"/>
      <w:lvlJc w:val="left"/>
      <w:pPr>
        <w:ind w:left="2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82E368C">
      <w:start w:val="1"/>
      <w:numFmt w:val="decimal"/>
      <w:lvlText w:val="%4"/>
      <w:lvlJc w:val="left"/>
      <w:pPr>
        <w:ind w:left="32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6ECCE8C">
      <w:start w:val="1"/>
      <w:numFmt w:val="lowerLetter"/>
      <w:lvlText w:val="%5"/>
      <w:lvlJc w:val="left"/>
      <w:pPr>
        <w:ind w:left="39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5421A3E">
      <w:start w:val="1"/>
      <w:numFmt w:val="lowerRoman"/>
      <w:lvlText w:val="%6"/>
      <w:lvlJc w:val="left"/>
      <w:pPr>
        <w:ind w:left="4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B021630">
      <w:start w:val="1"/>
      <w:numFmt w:val="decimal"/>
      <w:lvlText w:val="%7"/>
      <w:lvlJc w:val="left"/>
      <w:pPr>
        <w:ind w:left="5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7E07A5A">
      <w:start w:val="1"/>
      <w:numFmt w:val="lowerLetter"/>
      <w:lvlText w:val="%8"/>
      <w:lvlJc w:val="left"/>
      <w:pPr>
        <w:ind w:left="61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5469580">
      <w:start w:val="1"/>
      <w:numFmt w:val="lowerRoman"/>
      <w:lvlText w:val="%9"/>
      <w:lvlJc w:val="left"/>
      <w:pPr>
        <w:ind w:left="68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6F70868"/>
    <w:multiLevelType w:val="hybridMultilevel"/>
    <w:tmpl w:val="4DAACAC8"/>
    <w:lvl w:ilvl="0" w:tplc="FAD0868C">
      <w:start w:val="1"/>
      <w:numFmt w:val="upperLetter"/>
      <w:lvlText w:val="%1."/>
      <w:lvlJc w:val="left"/>
      <w:pPr>
        <w:ind w:left="14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DE8CE08">
      <w:start w:val="1"/>
      <w:numFmt w:val="lowerLetter"/>
      <w:lvlText w:val="%2"/>
      <w:lvlJc w:val="left"/>
      <w:pPr>
        <w:ind w:left="18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2A6218E">
      <w:start w:val="1"/>
      <w:numFmt w:val="lowerRoman"/>
      <w:lvlText w:val="%3"/>
      <w:lvlJc w:val="left"/>
      <w:pPr>
        <w:ind w:left="2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6FEA8F2">
      <w:start w:val="1"/>
      <w:numFmt w:val="decimal"/>
      <w:lvlText w:val="%4"/>
      <w:lvlJc w:val="left"/>
      <w:pPr>
        <w:ind w:left="32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7467874">
      <w:start w:val="1"/>
      <w:numFmt w:val="lowerLetter"/>
      <w:lvlText w:val="%5"/>
      <w:lvlJc w:val="left"/>
      <w:pPr>
        <w:ind w:left="39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D88AA8">
      <w:start w:val="1"/>
      <w:numFmt w:val="lowerRoman"/>
      <w:lvlText w:val="%6"/>
      <w:lvlJc w:val="left"/>
      <w:pPr>
        <w:ind w:left="4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30092CA">
      <w:start w:val="1"/>
      <w:numFmt w:val="decimal"/>
      <w:lvlText w:val="%7"/>
      <w:lvlJc w:val="left"/>
      <w:pPr>
        <w:ind w:left="5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B26DE04">
      <w:start w:val="1"/>
      <w:numFmt w:val="lowerLetter"/>
      <w:lvlText w:val="%8"/>
      <w:lvlJc w:val="left"/>
      <w:pPr>
        <w:ind w:left="61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CEB9FC">
      <w:start w:val="1"/>
      <w:numFmt w:val="lowerRoman"/>
      <w:lvlText w:val="%9"/>
      <w:lvlJc w:val="left"/>
      <w:pPr>
        <w:ind w:left="68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8924966"/>
    <w:multiLevelType w:val="hybridMultilevel"/>
    <w:tmpl w:val="0CD0EE82"/>
    <w:lvl w:ilvl="0" w:tplc="8CD44CA0">
      <w:start w:val="1"/>
      <w:numFmt w:val="upperLetter"/>
      <w:lvlText w:val="%1."/>
      <w:lvlJc w:val="left"/>
      <w:pPr>
        <w:ind w:left="1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FBCE1E6">
      <w:start w:val="1"/>
      <w:numFmt w:val="lowerLetter"/>
      <w:lvlText w:val="%2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AE06B10">
      <w:start w:val="1"/>
      <w:numFmt w:val="lowerRoman"/>
      <w:lvlText w:val="%3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6961E52">
      <w:start w:val="1"/>
      <w:numFmt w:val="decimal"/>
      <w:lvlText w:val="%4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8FCDF30">
      <w:start w:val="1"/>
      <w:numFmt w:val="lowerLetter"/>
      <w:lvlText w:val="%5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38ABD2C">
      <w:start w:val="1"/>
      <w:numFmt w:val="lowerRoman"/>
      <w:lvlText w:val="%6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8FE2380">
      <w:start w:val="1"/>
      <w:numFmt w:val="decimal"/>
      <w:lvlText w:val="%7"/>
      <w:lvlJc w:val="left"/>
      <w:pPr>
        <w:ind w:left="5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83CEF5C">
      <w:start w:val="1"/>
      <w:numFmt w:val="lowerLetter"/>
      <w:lvlText w:val="%8"/>
      <w:lvlJc w:val="left"/>
      <w:pPr>
        <w:ind w:left="6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0D4DBF2">
      <w:start w:val="1"/>
      <w:numFmt w:val="lowerRoman"/>
      <w:lvlText w:val="%9"/>
      <w:lvlJc w:val="left"/>
      <w:pPr>
        <w:ind w:left="72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8B638E3"/>
    <w:multiLevelType w:val="hybridMultilevel"/>
    <w:tmpl w:val="5060C4C6"/>
    <w:lvl w:ilvl="0" w:tplc="8FB0CED4">
      <w:start w:val="1"/>
      <w:numFmt w:val="upperLetter"/>
      <w:lvlText w:val="%1."/>
      <w:lvlJc w:val="left"/>
      <w:pPr>
        <w:ind w:left="14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508EFCA">
      <w:start w:val="1"/>
      <w:numFmt w:val="lowerLetter"/>
      <w:lvlText w:val="%2"/>
      <w:lvlJc w:val="left"/>
      <w:pPr>
        <w:ind w:left="18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B16F3EC">
      <w:start w:val="1"/>
      <w:numFmt w:val="lowerRoman"/>
      <w:lvlText w:val="%3"/>
      <w:lvlJc w:val="left"/>
      <w:pPr>
        <w:ind w:left="2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CD4F972">
      <w:start w:val="1"/>
      <w:numFmt w:val="decimal"/>
      <w:lvlText w:val="%4"/>
      <w:lvlJc w:val="left"/>
      <w:pPr>
        <w:ind w:left="32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C4CFA5C">
      <w:start w:val="1"/>
      <w:numFmt w:val="lowerLetter"/>
      <w:lvlText w:val="%5"/>
      <w:lvlJc w:val="left"/>
      <w:pPr>
        <w:ind w:left="39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2EC2B28">
      <w:start w:val="1"/>
      <w:numFmt w:val="lowerRoman"/>
      <w:lvlText w:val="%6"/>
      <w:lvlJc w:val="left"/>
      <w:pPr>
        <w:ind w:left="4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4088290">
      <w:start w:val="1"/>
      <w:numFmt w:val="decimal"/>
      <w:lvlText w:val="%7"/>
      <w:lvlJc w:val="left"/>
      <w:pPr>
        <w:ind w:left="5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27A9976">
      <w:start w:val="1"/>
      <w:numFmt w:val="lowerLetter"/>
      <w:lvlText w:val="%8"/>
      <w:lvlJc w:val="left"/>
      <w:pPr>
        <w:ind w:left="61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852992C">
      <w:start w:val="1"/>
      <w:numFmt w:val="lowerRoman"/>
      <w:lvlText w:val="%9"/>
      <w:lvlJc w:val="left"/>
      <w:pPr>
        <w:ind w:left="68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963"/>
    <w:rsid w:val="00170A76"/>
    <w:rsid w:val="00C6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677291-D53B-4881-A02F-5C3A0D0B5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0" w:line="252" w:lineRule="auto"/>
      <w:ind w:left="735" w:hanging="10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right="1" w:hanging="10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rouse-hind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rouse-hinds.com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Crouse-Hinds series Myers Atex spec guide form</vt:lpstr>
    </vt:vector>
  </TitlesOfParts>
  <Company/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Crouse-Hinds series Myers Atex spec guide form</dc:title>
  <dc:subject/>
  <dc:creator>Singh, Suman</dc:creator>
  <cp:keywords/>
  <cp:lastModifiedBy>Singh, Suman</cp:lastModifiedBy>
  <cp:revision>2</cp:revision>
  <dcterms:created xsi:type="dcterms:W3CDTF">2019-06-14T04:47:00Z</dcterms:created>
  <dcterms:modified xsi:type="dcterms:W3CDTF">2019-06-14T04:47:00Z</dcterms:modified>
</cp:coreProperties>
</file>